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D0" w:rsidRDefault="001101D0" w:rsidP="000A4E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201F1E"/>
          <w:sz w:val="22"/>
          <w:szCs w:val="22"/>
        </w:rPr>
      </w:pPr>
      <w:bookmarkStart w:id="0" w:name="_GoBack"/>
      <w:bookmarkEnd w:id="0"/>
    </w:p>
    <w:p w:rsidR="000A4E95" w:rsidRDefault="00BD21E5" w:rsidP="000A4E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201F1E"/>
          <w:sz w:val="22"/>
          <w:szCs w:val="22"/>
        </w:rPr>
      </w:pPr>
      <w:r>
        <w:rPr>
          <w:rFonts w:asciiTheme="minorHAnsi" w:hAnsiTheme="minorHAnsi"/>
          <w:b/>
          <w:color w:val="201F1E"/>
          <w:sz w:val="22"/>
          <w:szCs w:val="22"/>
        </w:rPr>
        <w:t xml:space="preserve">TRATAMIENTOS DISPONIBLES PARA EL MANEJO DE LA INFECCIÓN RESPIRATORIA POR SARS-CoV-2 </w:t>
      </w:r>
      <w:r w:rsidR="000C33A7">
        <w:rPr>
          <w:rFonts w:asciiTheme="minorHAnsi" w:hAnsiTheme="minorHAnsi"/>
          <w:b/>
          <w:color w:val="201F1E"/>
          <w:sz w:val="22"/>
          <w:szCs w:val="22"/>
        </w:rPr>
        <w:t>(</w:t>
      </w:r>
      <w:r>
        <w:rPr>
          <w:rFonts w:asciiTheme="minorHAnsi" w:hAnsiTheme="minorHAnsi"/>
          <w:b/>
          <w:color w:val="201F1E"/>
          <w:sz w:val="22"/>
          <w:szCs w:val="22"/>
        </w:rPr>
        <w:t>2</w:t>
      </w:r>
      <w:r w:rsidR="00EB4CF5">
        <w:rPr>
          <w:rFonts w:asciiTheme="minorHAnsi" w:hAnsiTheme="minorHAnsi"/>
          <w:b/>
          <w:color w:val="201F1E"/>
          <w:sz w:val="22"/>
          <w:szCs w:val="22"/>
        </w:rPr>
        <w:t>0</w:t>
      </w:r>
      <w:r w:rsidR="000C33A7">
        <w:rPr>
          <w:rFonts w:asciiTheme="minorHAnsi" w:hAnsiTheme="minorHAnsi"/>
          <w:b/>
          <w:color w:val="201F1E"/>
          <w:sz w:val="22"/>
          <w:szCs w:val="22"/>
        </w:rPr>
        <w:t xml:space="preserve"> de </w:t>
      </w:r>
      <w:r w:rsidR="00EB4CF5">
        <w:rPr>
          <w:rFonts w:asciiTheme="minorHAnsi" w:hAnsiTheme="minorHAnsi"/>
          <w:b/>
          <w:color w:val="201F1E"/>
          <w:sz w:val="22"/>
          <w:szCs w:val="22"/>
        </w:rPr>
        <w:t>abril</w:t>
      </w:r>
      <w:r w:rsidR="000C33A7">
        <w:rPr>
          <w:rFonts w:asciiTheme="minorHAnsi" w:hAnsiTheme="minorHAnsi"/>
          <w:b/>
          <w:color w:val="201F1E"/>
          <w:sz w:val="22"/>
          <w:szCs w:val="22"/>
        </w:rPr>
        <w:t xml:space="preserve"> de 2020)</w:t>
      </w:r>
    </w:p>
    <w:p w:rsidR="00443FD0" w:rsidRPr="000A4E95" w:rsidRDefault="00443FD0" w:rsidP="000A4E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201F1E"/>
          <w:sz w:val="22"/>
          <w:szCs w:val="22"/>
        </w:rPr>
      </w:pPr>
    </w:p>
    <w:p w:rsidR="00BC4BCC" w:rsidRDefault="00BC4BCC" w:rsidP="00B332A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</w:p>
    <w:p w:rsidR="00D631F5" w:rsidRDefault="00BD21E5" w:rsidP="00BD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 xml:space="preserve">De acuerdo con la nota informativa emitida el 28 de marzo por la Agencia Española de Medicamentos y Productos Sanitarios (AEMPS) sobre los </w:t>
      </w:r>
      <w:r w:rsidRPr="00BD21E5">
        <w:rPr>
          <w:rFonts w:asciiTheme="minorHAnsi" w:hAnsiTheme="minorHAnsi"/>
          <w:i/>
          <w:color w:val="201F1E"/>
          <w:sz w:val="22"/>
          <w:szCs w:val="22"/>
        </w:rPr>
        <w:t>Tratamientos disponibles para el manejo de la infección respiratoria por SARS-CoV-2</w:t>
      </w:r>
      <w:r>
        <w:rPr>
          <w:rFonts w:asciiTheme="minorHAnsi" w:hAnsiTheme="minorHAnsi"/>
          <w:color w:val="201F1E"/>
          <w:sz w:val="22"/>
          <w:szCs w:val="22"/>
        </w:rPr>
        <w:t xml:space="preserve">, </w:t>
      </w:r>
      <w:r w:rsidR="00D631F5">
        <w:rPr>
          <w:rFonts w:asciiTheme="minorHAnsi" w:hAnsiTheme="minorHAnsi"/>
          <w:color w:val="201F1E"/>
          <w:sz w:val="22"/>
          <w:szCs w:val="22"/>
        </w:rPr>
        <w:t xml:space="preserve">desde el Servicio de Farmacia </w:t>
      </w:r>
      <w:r>
        <w:rPr>
          <w:rFonts w:asciiTheme="minorHAnsi" w:hAnsiTheme="minorHAnsi"/>
          <w:color w:val="201F1E"/>
          <w:sz w:val="22"/>
          <w:szCs w:val="22"/>
        </w:rPr>
        <w:t xml:space="preserve">se </w:t>
      </w:r>
      <w:r w:rsidR="00D631F5">
        <w:rPr>
          <w:rFonts w:asciiTheme="minorHAnsi" w:hAnsiTheme="minorHAnsi"/>
          <w:color w:val="201F1E"/>
          <w:sz w:val="22"/>
          <w:szCs w:val="22"/>
        </w:rPr>
        <w:t>elaboró un documento breve</w:t>
      </w:r>
      <w:r>
        <w:rPr>
          <w:rFonts w:asciiTheme="minorHAnsi" w:hAnsiTheme="minorHAnsi"/>
          <w:color w:val="201F1E"/>
          <w:sz w:val="22"/>
          <w:szCs w:val="22"/>
        </w:rPr>
        <w:t xml:space="preserve"> de las nuevas recomendaciones posológicas</w:t>
      </w:r>
      <w:r w:rsidR="00D631F5">
        <w:rPr>
          <w:rFonts w:asciiTheme="minorHAnsi" w:hAnsiTheme="minorHAnsi"/>
          <w:color w:val="201F1E"/>
          <w:sz w:val="22"/>
          <w:szCs w:val="22"/>
        </w:rPr>
        <w:t xml:space="preserve"> y de las condiciones de acceso. </w:t>
      </w:r>
    </w:p>
    <w:p w:rsidR="00BD21E5" w:rsidRDefault="00D631F5" w:rsidP="00BD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>Posteriormente, el 16 de abril</w:t>
      </w:r>
      <w:r w:rsidR="007C5BF0">
        <w:rPr>
          <w:rFonts w:asciiTheme="minorHAnsi" w:hAnsiTheme="minorHAnsi"/>
          <w:color w:val="201F1E"/>
          <w:sz w:val="22"/>
          <w:szCs w:val="22"/>
        </w:rPr>
        <w:t>,</w:t>
      </w:r>
      <w:r>
        <w:rPr>
          <w:rFonts w:asciiTheme="minorHAnsi" w:hAnsiTheme="minorHAnsi"/>
          <w:color w:val="201F1E"/>
          <w:sz w:val="22"/>
          <w:szCs w:val="22"/>
        </w:rPr>
        <w:t xml:space="preserve"> la AEMPS ha actualizado dichas recomendaciones, por lo que se han incorporado estas modificaciones sobre el texto anterior, diferenciándolas en cursiva y sombreado:</w:t>
      </w:r>
    </w:p>
    <w:p w:rsidR="00443FD0" w:rsidRDefault="00443FD0" w:rsidP="00C910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0A4E95" w:rsidRPr="00771D34" w:rsidRDefault="000A4E95" w:rsidP="00B332A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</w:p>
    <w:p w:rsidR="00194CC8" w:rsidRPr="006F5248" w:rsidRDefault="009F1F3F" w:rsidP="000A4E95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HIDROXICLOROQUINA/CLOROQUINA</w:t>
      </w:r>
    </w:p>
    <w:p w:rsidR="006F5248" w:rsidRPr="00C910EA" w:rsidRDefault="006F5248" w:rsidP="006F5248">
      <w:pPr>
        <w:pStyle w:val="xxmsonormal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C910EA" w:rsidRPr="009F1F3F" w:rsidRDefault="009F1F3F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  <w:bdr w:val="none" w:sz="0" w:space="0" w:color="auto" w:frame="1"/>
        </w:rPr>
        <w:t>Presentación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disponible en el hospital: HIDROXICLOROQUINA 200</w:t>
      </w:r>
      <w:r w:rsidR="00336BD2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mg c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/30 comprimidos.</w:t>
      </w:r>
    </w:p>
    <w:p w:rsidR="009F1F3F" w:rsidRPr="009F1F3F" w:rsidRDefault="009F1F3F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  <w:bdr w:val="none" w:sz="0" w:space="0" w:color="auto" w:frame="1"/>
        </w:rPr>
        <w:t>Acceso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: solicitud restringida a través de la página web de medicamentos en situaciones especiales de la AEMPS.</w:t>
      </w:r>
      <w:r w:rsidR="00B75226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Solo se autoriza el tratamiento para 5 días.</w:t>
      </w:r>
    </w:p>
    <w:p w:rsidR="009F1F3F" w:rsidRPr="00881219" w:rsidRDefault="00A57DC9" w:rsidP="00EB4CF5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i/>
          <w:color w:val="201F1E"/>
          <w:sz w:val="22"/>
          <w:szCs w:val="22"/>
          <w:highlight w:val="lightGray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</w:rPr>
        <w:t>Dosis adultos</w:t>
      </w:r>
      <w:r>
        <w:rPr>
          <w:rFonts w:asciiTheme="minorHAnsi" w:hAnsiTheme="minorHAnsi"/>
          <w:color w:val="201F1E"/>
          <w:sz w:val="22"/>
          <w:szCs w:val="22"/>
        </w:rPr>
        <w:t xml:space="preserve">: duración </w:t>
      </w:r>
      <w:r w:rsidRPr="00A57DC9">
        <w:rPr>
          <w:rFonts w:asciiTheme="minorHAnsi" w:hAnsiTheme="minorHAnsi"/>
          <w:b/>
          <w:color w:val="201F1E"/>
          <w:sz w:val="22"/>
          <w:szCs w:val="22"/>
        </w:rPr>
        <w:t>5 días</w:t>
      </w:r>
      <w:r w:rsidR="00B05495">
        <w:rPr>
          <w:rFonts w:asciiTheme="minorHAnsi" w:hAnsiTheme="minorHAnsi"/>
          <w:b/>
          <w:color w:val="201F1E"/>
          <w:sz w:val="22"/>
          <w:szCs w:val="22"/>
        </w:rPr>
        <w:t xml:space="preserve"> </w:t>
      </w:r>
      <w:r w:rsidR="00B05495" w:rsidRPr="00B05495">
        <w:rPr>
          <w:rFonts w:asciiTheme="minorHAnsi" w:hAnsiTheme="minorHAnsi"/>
          <w:color w:val="201F1E"/>
          <w:sz w:val="22"/>
          <w:szCs w:val="22"/>
        </w:rPr>
        <w:t>(vía oral)</w:t>
      </w:r>
      <w:r w:rsidR="00EB4CF5">
        <w:rPr>
          <w:rFonts w:asciiTheme="minorHAnsi" w:hAnsiTheme="minorHAnsi"/>
          <w:color w:val="201F1E"/>
          <w:sz w:val="22"/>
          <w:szCs w:val="22"/>
        </w:rPr>
        <w:t xml:space="preserve">. </w:t>
      </w:r>
      <w:r w:rsidR="00EB4CF5" w:rsidRPr="00881219">
        <w:rPr>
          <w:rFonts w:asciiTheme="minorHAnsi" w:hAnsiTheme="minorHAnsi"/>
          <w:i/>
          <w:color w:val="201F1E"/>
          <w:sz w:val="22"/>
          <w:szCs w:val="22"/>
          <w:highlight w:val="lightGray"/>
        </w:rPr>
        <w:t>La pauta recomendada sigue siendo 5 días, pero se contempla la posibilidad de ampliar hasta un máximo de 10 días, según la gravedad del paciente.</w:t>
      </w:r>
    </w:p>
    <w:p w:rsidR="00A57DC9" w:rsidRDefault="00A57DC9" w:rsidP="00D46BF1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>Día 1: hidroxicloroquina sulfato 400</w:t>
      </w:r>
      <w:r w:rsidR="00336BD2">
        <w:rPr>
          <w:rFonts w:asciiTheme="minorHAnsi" w:hAnsi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</w:rPr>
        <w:t>mg (2 comp) cada 12 horas</w:t>
      </w:r>
    </w:p>
    <w:p w:rsidR="00A57DC9" w:rsidRDefault="00A57DC9" w:rsidP="00D46BF1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>Días 2-5</w:t>
      </w:r>
      <w:r w:rsidR="00EB4CF5">
        <w:rPr>
          <w:rFonts w:asciiTheme="minorHAnsi" w:hAnsiTheme="minorHAnsi"/>
          <w:color w:val="201F1E"/>
          <w:sz w:val="22"/>
          <w:szCs w:val="22"/>
        </w:rPr>
        <w:t xml:space="preserve"> </w:t>
      </w:r>
      <w:r w:rsidR="00EB4CF5" w:rsidRPr="00EB4CF5">
        <w:rPr>
          <w:rFonts w:asciiTheme="minorHAnsi" w:hAnsiTheme="minorHAnsi"/>
          <w:b/>
          <w:color w:val="201F1E"/>
          <w:sz w:val="22"/>
          <w:szCs w:val="22"/>
        </w:rPr>
        <w:t>(ó 10 en casos graves)</w:t>
      </w:r>
      <w:r>
        <w:rPr>
          <w:rFonts w:asciiTheme="minorHAnsi" w:hAnsiTheme="minorHAnsi"/>
          <w:color w:val="201F1E"/>
          <w:sz w:val="22"/>
          <w:szCs w:val="22"/>
        </w:rPr>
        <w:t>: hidroxicloroquina sulfato 200</w:t>
      </w:r>
      <w:r w:rsidR="00336BD2">
        <w:rPr>
          <w:rFonts w:asciiTheme="minorHAnsi" w:hAnsi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</w:rPr>
        <w:t>mg (1 comp) cada 12 horas</w:t>
      </w:r>
    </w:p>
    <w:p w:rsidR="00A57DC9" w:rsidRPr="00C527DA" w:rsidRDefault="00A57DC9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</w:rPr>
        <w:t>Prescripción</w:t>
      </w:r>
      <w:r>
        <w:rPr>
          <w:rFonts w:asciiTheme="minorHAnsi" w:hAnsiTheme="minorHAnsi"/>
          <w:color w:val="201F1E"/>
          <w:sz w:val="22"/>
          <w:szCs w:val="22"/>
        </w:rPr>
        <w:t xml:space="preserve"> en Prescriptools según </w:t>
      </w:r>
      <w:r w:rsidRPr="00B75226">
        <w:rPr>
          <w:rFonts w:asciiTheme="minorHAnsi" w:hAnsiTheme="minorHAnsi"/>
          <w:b/>
          <w:color w:val="201F1E"/>
          <w:sz w:val="22"/>
          <w:szCs w:val="22"/>
        </w:rPr>
        <w:t>protocolo “COVID-19 hidroxicloroquina”</w:t>
      </w:r>
      <w:r w:rsidR="00C527DA">
        <w:rPr>
          <w:rFonts w:asciiTheme="minorHAnsi" w:hAnsiTheme="minorHAnsi"/>
          <w:b/>
          <w:color w:val="201F1E"/>
          <w:sz w:val="22"/>
          <w:szCs w:val="22"/>
        </w:rPr>
        <w:t xml:space="preserve">, </w:t>
      </w:r>
      <w:r w:rsidR="00C527DA" w:rsidRPr="00C527DA">
        <w:rPr>
          <w:rFonts w:asciiTheme="minorHAnsi" w:hAnsiTheme="minorHAnsi"/>
          <w:color w:val="201F1E"/>
          <w:sz w:val="22"/>
          <w:szCs w:val="22"/>
        </w:rPr>
        <w:t>recientemente creado</w:t>
      </w:r>
      <w:r w:rsidR="00AE656E" w:rsidRPr="00C527DA">
        <w:rPr>
          <w:rFonts w:asciiTheme="minorHAnsi" w:hAnsiTheme="minorHAnsi"/>
          <w:color w:val="201F1E"/>
          <w:sz w:val="22"/>
          <w:szCs w:val="22"/>
        </w:rPr>
        <w:t>.</w:t>
      </w:r>
    </w:p>
    <w:p w:rsidR="00A57DC9" w:rsidRPr="00870FE5" w:rsidRDefault="00A57DC9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</w:rPr>
        <w:t>Validación</w:t>
      </w:r>
      <w:r>
        <w:rPr>
          <w:rFonts w:asciiTheme="minorHAnsi" w:hAnsiTheme="minorHAnsi"/>
          <w:color w:val="201F1E"/>
          <w:sz w:val="22"/>
          <w:szCs w:val="22"/>
        </w:rPr>
        <w:t xml:space="preserve"> en Farmatools del protocolo “COVID-19 hidroxicloroquina”. En los casos en los que no se prescriba </w:t>
      </w:r>
      <w:r w:rsidR="002E5A96">
        <w:rPr>
          <w:rFonts w:asciiTheme="minorHAnsi" w:hAnsiTheme="minorHAnsi"/>
          <w:color w:val="201F1E"/>
          <w:sz w:val="22"/>
          <w:szCs w:val="22"/>
        </w:rPr>
        <w:t xml:space="preserve">por </w:t>
      </w:r>
      <w:r>
        <w:rPr>
          <w:rFonts w:asciiTheme="minorHAnsi" w:hAnsiTheme="minorHAnsi"/>
          <w:color w:val="201F1E"/>
          <w:sz w:val="22"/>
          <w:szCs w:val="22"/>
        </w:rPr>
        <w:t xml:space="preserve">protocolo, se </w:t>
      </w:r>
      <w:r w:rsidR="00934052">
        <w:rPr>
          <w:rFonts w:asciiTheme="minorHAnsi" w:hAnsiTheme="minorHAnsi"/>
          <w:color w:val="201F1E"/>
          <w:sz w:val="22"/>
          <w:szCs w:val="22"/>
        </w:rPr>
        <w:t>podrá modificar</w:t>
      </w:r>
      <w:r>
        <w:rPr>
          <w:rFonts w:asciiTheme="minorHAnsi" w:hAnsiTheme="minorHAnsi"/>
          <w:color w:val="201F1E"/>
          <w:sz w:val="22"/>
          <w:szCs w:val="22"/>
        </w:rPr>
        <w:t xml:space="preserve"> la</w:t>
      </w:r>
      <w:r w:rsidR="00934052">
        <w:rPr>
          <w:rFonts w:asciiTheme="minorHAnsi" w:hAnsiTheme="minorHAnsi"/>
          <w:color w:val="201F1E"/>
          <w:sz w:val="22"/>
          <w:szCs w:val="22"/>
        </w:rPr>
        <w:t xml:space="preserve"> posología</w:t>
      </w:r>
      <w:r>
        <w:rPr>
          <w:rFonts w:asciiTheme="minorHAnsi" w:hAnsiTheme="minorHAnsi"/>
          <w:color w:val="201F1E"/>
          <w:sz w:val="22"/>
          <w:szCs w:val="22"/>
        </w:rPr>
        <w:t xml:space="preserve"> desde el Servicio de Farmacia.</w:t>
      </w:r>
    </w:p>
    <w:p w:rsidR="0036394D" w:rsidRPr="00C910EA" w:rsidRDefault="0036394D" w:rsidP="0036394D">
      <w:pPr>
        <w:pStyle w:val="xxmsonormal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C910EA" w:rsidRPr="006F5248" w:rsidRDefault="00B05495" w:rsidP="000A4E95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LOPINAVIR/RITONAVIR</w:t>
      </w:r>
    </w:p>
    <w:p w:rsidR="006F5248" w:rsidRPr="00194CC8" w:rsidRDefault="006F5248" w:rsidP="006F5248">
      <w:pPr>
        <w:pStyle w:val="xxmsonormal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B05495" w:rsidRPr="009F1F3F" w:rsidRDefault="00B05495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  <w:bdr w:val="none" w:sz="0" w:space="0" w:color="auto" w:frame="1"/>
        </w:rPr>
        <w:t>Presentación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disponible en el hospital: LOPINAVIR/RITONAVIR ACCORD 200/50</w:t>
      </w:r>
      <w:r w:rsidR="00C45609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mg</w:t>
      </w:r>
      <w:r w:rsidR="00336BD2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c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/120 comprimidos.</w:t>
      </w:r>
    </w:p>
    <w:p w:rsidR="00B05495" w:rsidRPr="009F1F3F" w:rsidRDefault="00B05495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  <w:bdr w:val="none" w:sz="0" w:space="0" w:color="auto" w:frame="1"/>
        </w:rPr>
        <w:t>Acceso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: solicitud restringida a través de la página web de medicamentos en situaciones especiales de la AEMPS.</w:t>
      </w:r>
    </w:p>
    <w:p w:rsidR="00B05495" w:rsidRDefault="00B05495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</w:rPr>
        <w:t>Dosis adultos</w:t>
      </w:r>
      <w:r>
        <w:rPr>
          <w:rFonts w:asciiTheme="minorHAnsi" w:hAnsiTheme="minorHAnsi"/>
          <w:color w:val="201F1E"/>
          <w:sz w:val="22"/>
          <w:szCs w:val="22"/>
        </w:rPr>
        <w:t>: 400/100</w:t>
      </w:r>
      <w:r w:rsidR="00C45609">
        <w:rPr>
          <w:rFonts w:asciiTheme="minorHAnsi" w:hAnsi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</w:rPr>
        <w:t xml:space="preserve">mg (2 comp) cada 12 horas vía oral, duración máxima </w:t>
      </w:r>
      <w:r w:rsidRPr="00B05495">
        <w:rPr>
          <w:rFonts w:asciiTheme="minorHAnsi" w:hAnsiTheme="minorHAnsi"/>
          <w:b/>
          <w:color w:val="201F1E"/>
          <w:sz w:val="22"/>
          <w:szCs w:val="22"/>
        </w:rPr>
        <w:t>14</w:t>
      </w:r>
      <w:r w:rsidRPr="00A57DC9">
        <w:rPr>
          <w:rFonts w:asciiTheme="minorHAnsi" w:hAnsiTheme="minorHAnsi"/>
          <w:b/>
          <w:color w:val="201F1E"/>
          <w:sz w:val="22"/>
          <w:szCs w:val="22"/>
        </w:rPr>
        <w:t xml:space="preserve"> días</w:t>
      </w:r>
      <w:r w:rsidR="00814932">
        <w:rPr>
          <w:rFonts w:asciiTheme="minorHAnsi" w:hAnsiTheme="minorHAnsi"/>
          <w:b/>
          <w:color w:val="201F1E"/>
          <w:sz w:val="22"/>
          <w:szCs w:val="22"/>
        </w:rPr>
        <w:t>.</w:t>
      </w:r>
    </w:p>
    <w:p w:rsidR="00B05495" w:rsidRPr="00814932" w:rsidRDefault="00B05495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</w:rPr>
        <w:t>Prescripción</w:t>
      </w:r>
      <w:r w:rsidRPr="00814932">
        <w:rPr>
          <w:rFonts w:asciiTheme="minorHAnsi" w:hAnsiTheme="minorHAnsi"/>
          <w:color w:val="201F1E"/>
          <w:sz w:val="22"/>
          <w:szCs w:val="22"/>
        </w:rPr>
        <w:t xml:space="preserve"> en Prescriptools de forma libre con alerta a los 14 días de tratamiento.</w:t>
      </w:r>
    </w:p>
    <w:p w:rsidR="00B05495" w:rsidRPr="00870FE5" w:rsidRDefault="00B05495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</w:rPr>
        <w:t>Validación</w:t>
      </w:r>
      <w:r>
        <w:rPr>
          <w:rFonts w:asciiTheme="minorHAnsi" w:hAnsiTheme="minorHAnsi"/>
          <w:color w:val="201F1E"/>
          <w:sz w:val="22"/>
          <w:szCs w:val="22"/>
        </w:rPr>
        <w:t xml:space="preserve"> en Farmatools de acuerdo con la posología recomendada.</w:t>
      </w:r>
    </w:p>
    <w:p w:rsidR="000A4E95" w:rsidRPr="00771D34" w:rsidRDefault="000A4E95" w:rsidP="00D46BF1">
      <w:pPr>
        <w:pStyle w:val="xxmsonormal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324828" w:rsidRDefault="008059EB" w:rsidP="000A4E95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>REMDESIVIR</w:t>
      </w:r>
    </w:p>
    <w:p w:rsidR="00324828" w:rsidRDefault="00324828" w:rsidP="00324828">
      <w:pPr>
        <w:pStyle w:val="xxmsonormal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240DE8" w:rsidRDefault="00C56A9F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1434" w:hanging="357"/>
        <w:jc w:val="both"/>
        <w:rPr>
          <w:rFonts w:asciiTheme="minorHAnsi" w:hAnsiTheme="minorHAnsi"/>
          <w:color w:val="201F1E"/>
          <w:sz w:val="22"/>
          <w:szCs w:val="22"/>
        </w:rPr>
      </w:pPr>
      <w:r w:rsidRPr="00240DE8">
        <w:rPr>
          <w:rFonts w:asciiTheme="minorHAnsi" w:hAnsiTheme="minorHAnsi"/>
          <w:color w:val="201F1E"/>
          <w:sz w:val="22"/>
          <w:szCs w:val="22"/>
          <w:u w:val="single"/>
        </w:rPr>
        <w:t>Presentación</w:t>
      </w:r>
      <w:r w:rsidRPr="00240DE8">
        <w:rPr>
          <w:rFonts w:asciiTheme="minorHAnsi" w:hAnsiTheme="minorHAnsi"/>
          <w:color w:val="201F1E"/>
          <w:sz w:val="22"/>
          <w:szCs w:val="22"/>
        </w:rPr>
        <w:t>: REMDESIVIR 100</w:t>
      </w:r>
      <w:r w:rsidR="00C45609" w:rsidRPr="00240DE8">
        <w:rPr>
          <w:rFonts w:asciiTheme="minorHAnsi" w:hAnsiTheme="minorHAnsi"/>
          <w:color w:val="201F1E"/>
          <w:sz w:val="22"/>
          <w:szCs w:val="22"/>
        </w:rPr>
        <w:t xml:space="preserve"> </w:t>
      </w:r>
      <w:r w:rsidRPr="00240DE8">
        <w:rPr>
          <w:rFonts w:asciiTheme="minorHAnsi" w:hAnsiTheme="minorHAnsi"/>
          <w:color w:val="201F1E"/>
          <w:sz w:val="22"/>
          <w:szCs w:val="22"/>
        </w:rPr>
        <w:t>mg vial y 150</w:t>
      </w:r>
      <w:r w:rsidR="00C45609" w:rsidRPr="00240DE8">
        <w:rPr>
          <w:rFonts w:asciiTheme="minorHAnsi" w:hAnsiTheme="minorHAnsi"/>
          <w:color w:val="201F1E"/>
          <w:sz w:val="22"/>
          <w:szCs w:val="22"/>
        </w:rPr>
        <w:t xml:space="preserve"> </w:t>
      </w:r>
      <w:r w:rsidRPr="00240DE8">
        <w:rPr>
          <w:rFonts w:asciiTheme="minorHAnsi" w:hAnsiTheme="minorHAnsi"/>
          <w:color w:val="201F1E"/>
          <w:sz w:val="22"/>
          <w:szCs w:val="22"/>
        </w:rPr>
        <w:t>mg vial. No disponible en el hospital.</w:t>
      </w:r>
    </w:p>
    <w:p w:rsidR="008059EB" w:rsidRPr="00240DE8" w:rsidRDefault="008059EB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1434" w:hanging="357"/>
        <w:jc w:val="both"/>
        <w:rPr>
          <w:rFonts w:asciiTheme="minorHAnsi" w:hAnsiTheme="minorHAnsi"/>
          <w:color w:val="201F1E"/>
          <w:sz w:val="22"/>
          <w:szCs w:val="22"/>
        </w:rPr>
      </w:pPr>
      <w:r w:rsidRPr="00240DE8">
        <w:rPr>
          <w:rFonts w:asciiTheme="minorHAnsi" w:hAnsiTheme="minorHAnsi"/>
          <w:color w:val="201F1E"/>
          <w:sz w:val="22"/>
          <w:szCs w:val="22"/>
          <w:u w:val="single"/>
          <w:bdr w:val="none" w:sz="0" w:space="0" w:color="auto" w:frame="1"/>
        </w:rPr>
        <w:t>Acceso</w:t>
      </w:r>
      <w:r w:rsidRPr="00240DE8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: solicitud restringida a través de la página web de medicamentos en situaciones especiales de la AEMPS. Únicamente está disponible en </w:t>
      </w:r>
      <w:r w:rsidRPr="00240DE8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>ensayos clínicos</w:t>
      </w:r>
      <w:r w:rsidRPr="00240DE8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o mediante el programa de uso compasivo, pero actualmente este programa se encuentra suspendido, excepto para </w:t>
      </w:r>
      <w:r w:rsidRPr="00240DE8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>embarazadas</w:t>
      </w:r>
      <w:r w:rsidRPr="00240DE8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y </w:t>
      </w:r>
      <w:r w:rsidRPr="00240DE8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>menores graves</w:t>
      </w:r>
      <w:r w:rsidRPr="00240DE8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.</w:t>
      </w:r>
    </w:p>
    <w:p w:rsidR="008059EB" w:rsidRDefault="008059EB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1434" w:hanging="357"/>
        <w:jc w:val="both"/>
        <w:rPr>
          <w:rFonts w:asciiTheme="minorHAnsi" w:hAnsiTheme="minorHAnsi"/>
          <w:color w:val="201F1E"/>
          <w:sz w:val="22"/>
          <w:szCs w:val="22"/>
        </w:rPr>
      </w:pPr>
      <w:r w:rsidRPr="00C56A9F">
        <w:rPr>
          <w:rFonts w:asciiTheme="minorHAnsi" w:hAnsiTheme="minorHAnsi"/>
          <w:color w:val="201F1E"/>
          <w:sz w:val="22"/>
          <w:szCs w:val="22"/>
          <w:u w:val="single"/>
        </w:rPr>
        <w:t>Dosis adultos</w:t>
      </w:r>
      <w:r>
        <w:rPr>
          <w:rFonts w:asciiTheme="minorHAnsi" w:hAnsiTheme="minorHAnsi"/>
          <w:color w:val="201F1E"/>
          <w:sz w:val="22"/>
          <w:szCs w:val="22"/>
        </w:rPr>
        <w:t>: dosis de carga el primer día 200</w:t>
      </w:r>
      <w:r w:rsidR="00C45609">
        <w:rPr>
          <w:rFonts w:asciiTheme="minorHAnsi" w:hAnsi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</w:rPr>
        <w:t>mg IV seguida de una dosis de 100</w:t>
      </w:r>
      <w:r w:rsidR="00C45609">
        <w:rPr>
          <w:rFonts w:asciiTheme="minorHAnsi" w:hAnsi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</w:rPr>
        <w:t>mg IV al día desde el día 2 al día 10.</w:t>
      </w:r>
    </w:p>
    <w:p w:rsidR="0074209F" w:rsidRDefault="0074209F" w:rsidP="0074209F">
      <w:pPr>
        <w:pStyle w:val="xxmsonormal"/>
        <w:shd w:val="clear" w:color="auto" w:fill="FFFFFF"/>
        <w:spacing w:before="0" w:beforeAutospacing="0" w:after="120" w:afterAutospacing="0"/>
        <w:ind w:left="1434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593544" w:rsidRDefault="006B35FD" w:rsidP="000A4E95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>TOCILIZUMAB</w:t>
      </w:r>
    </w:p>
    <w:p w:rsidR="00822555" w:rsidRDefault="00822555" w:rsidP="00822555">
      <w:pPr>
        <w:pStyle w:val="xxmsonormal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C56A9F" w:rsidRDefault="00C56A9F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C56A9F">
        <w:rPr>
          <w:rFonts w:asciiTheme="minorHAnsi" w:hAnsiTheme="minorHAnsi"/>
          <w:color w:val="201F1E"/>
          <w:sz w:val="22"/>
          <w:szCs w:val="22"/>
          <w:u w:val="single"/>
        </w:rPr>
        <w:t>Presentación</w:t>
      </w:r>
      <w:r>
        <w:rPr>
          <w:rFonts w:asciiTheme="minorHAnsi" w:hAnsiTheme="minorHAnsi"/>
          <w:color w:val="201F1E"/>
          <w:sz w:val="22"/>
          <w:szCs w:val="22"/>
        </w:rPr>
        <w:t xml:space="preserve">: TOCILIZUMAB 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20</w:t>
      </w:r>
      <w:r w:rsidR="00C45609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mg/ml vial de 4</w:t>
      </w:r>
      <w:r w:rsidR="00C45609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ml</w:t>
      </w:r>
      <w:r w:rsidR="003F4812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(80 mg),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10</w:t>
      </w:r>
      <w:r w:rsidR="00C45609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ml</w:t>
      </w:r>
      <w:r w:rsidR="003F4812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(200 mg) y 20 ml (400 mg)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.</w:t>
      </w:r>
      <w:r w:rsidR="003F4812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Hay algunas unidades disponibles en farmacia.</w:t>
      </w:r>
    </w:p>
    <w:p w:rsidR="006B35FD" w:rsidRDefault="006B35FD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064EAE">
        <w:rPr>
          <w:rFonts w:asciiTheme="minorHAnsi" w:hAnsiTheme="minorHAnsi"/>
          <w:color w:val="201F1E"/>
          <w:sz w:val="22"/>
          <w:szCs w:val="22"/>
          <w:u w:val="single"/>
          <w:bdr w:val="none" w:sz="0" w:space="0" w:color="auto" w:frame="1"/>
        </w:rPr>
        <w:t>Acceso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: solicitud restringida a través de la página web de medicamentos en situaciones especiales de la AEMPS. La </w:t>
      </w:r>
      <w:r w:rsidRPr="006B35FD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>solución para perfusión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queda reservada para pacientes con infección por</w:t>
      </w:r>
      <w:r w:rsidRPr="006B35FD">
        <w:rPr>
          <w:rFonts w:asciiTheme="minorHAnsi" w:hAnsiTheme="minorHAnsi"/>
          <w:i/>
          <w:color w:val="201F1E"/>
          <w:sz w:val="22"/>
          <w:szCs w:val="22"/>
        </w:rPr>
        <w:t xml:space="preserve"> </w:t>
      </w:r>
      <w:r w:rsidRPr="006B35FD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SARS-CoV-2</w:t>
      </w:r>
      <w:r w:rsidR="00466621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que cumplan los criterios</w:t>
      </w:r>
      <w:r w:rsidR="003D7631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necesarios.</w:t>
      </w:r>
    </w:p>
    <w:p w:rsidR="003D7631" w:rsidRDefault="003D7631" w:rsidP="003D763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064EAE">
        <w:rPr>
          <w:rFonts w:asciiTheme="minorHAnsi" w:hAnsiTheme="minorHAnsi"/>
          <w:color w:val="201F1E"/>
          <w:sz w:val="22"/>
          <w:szCs w:val="22"/>
          <w:u w:val="single"/>
        </w:rPr>
        <w:t>Dosis adultos</w:t>
      </w:r>
      <w:r>
        <w:rPr>
          <w:rFonts w:asciiTheme="minorHAnsi" w:hAnsiTheme="minorHAnsi"/>
          <w:color w:val="201F1E"/>
          <w:sz w:val="22"/>
          <w:szCs w:val="22"/>
        </w:rPr>
        <w:t>: administración dosis fijas de acuerdo al siguiente esquema:</w:t>
      </w:r>
    </w:p>
    <w:p w:rsidR="003D7631" w:rsidRDefault="003D7631" w:rsidP="003D7631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 xml:space="preserve">Pacientes con peso ≥ 75Kg: </w:t>
      </w:r>
      <w:r w:rsidRPr="006B35FD">
        <w:rPr>
          <w:rFonts w:asciiTheme="minorHAnsi" w:hAnsiTheme="minorHAnsi"/>
          <w:b/>
          <w:color w:val="201F1E"/>
          <w:sz w:val="22"/>
          <w:szCs w:val="22"/>
        </w:rPr>
        <w:t>dosis única</w:t>
      </w:r>
      <w:r>
        <w:rPr>
          <w:rFonts w:asciiTheme="minorHAnsi" w:hAnsiTheme="minorHAnsi"/>
          <w:color w:val="201F1E"/>
          <w:sz w:val="22"/>
          <w:szCs w:val="22"/>
        </w:rPr>
        <w:t xml:space="preserve"> de 600 mg.</w:t>
      </w:r>
    </w:p>
    <w:p w:rsidR="003D7631" w:rsidRDefault="003D7631" w:rsidP="003D7631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 xml:space="preserve">Pacientes con peso &lt; 75Kg: </w:t>
      </w:r>
      <w:r w:rsidRPr="006B35FD">
        <w:rPr>
          <w:rFonts w:asciiTheme="minorHAnsi" w:hAnsiTheme="minorHAnsi"/>
          <w:b/>
          <w:color w:val="201F1E"/>
          <w:sz w:val="22"/>
          <w:szCs w:val="22"/>
        </w:rPr>
        <w:t>dosis única</w:t>
      </w:r>
      <w:r>
        <w:rPr>
          <w:rFonts w:asciiTheme="minorHAnsi" w:hAnsiTheme="minorHAnsi"/>
          <w:color w:val="201F1E"/>
          <w:sz w:val="22"/>
          <w:szCs w:val="22"/>
        </w:rPr>
        <w:t xml:space="preserve"> de 400 mg.</w:t>
      </w:r>
    </w:p>
    <w:p w:rsidR="00881219" w:rsidRPr="00881219" w:rsidRDefault="00881219" w:rsidP="00881219">
      <w:pPr>
        <w:pStyle w:val="xxmsonormal"/>
        <w:shd w:val="clear" w:color="auto" w:fill="FFFFFF"/>
        <w:spacing w:before="0" w:beforeAutospacing="0" w:after="120" w:afterAutospacing="0"/>
        <w:ind w:left="1080"/>
        <w:jc w:val="both"/>
        <w:rPr>
          <w:rFonts w:asciiTheme="minorHAnsi" w:hAnsiTheme="minorHAnsi"/>
          <w:i/>
          <w:color w:val="201F1E"/>
          <w:sz w:val="22"/>
          <w:szCs w:val="22"/>
        </w:rPr>
      </w:pPr>
      <w:r w:rsidRPr="00881219">
        <w:rPr>
          <w:rFonts w:asciiTheme="minorHAnsi" w:hAnsiTheme="minorHAnsi"/>
          <w:i/>
          <w:color w:val="201F1E"/>
          <w:sz w:val="22"/>
          <w:szCs w:val="22"/>
          <w:highlight w:val="lightGray"/>
        </w:rPr>
        <w:t>Excepcionalmente, se puede valorar una segunda infusión a las 12 horas desde la primera infusión en aquellos pacientes que experimenten un repunte de los parámetros analíticos tras una primera respuesta favorable.</w:t>
      </w:r>
    </w:p>
    <w:p w:rsidR="003D7631" w:rsidRPr="003D7631" w:rsidRDefault="003D7631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8A0B61">
        <w:rPr>
          <w:rFonts w:asciiTheme="minorHAnsi" w:hAnsiTheme="minorHAnsi"/>
          <w:color w:val="201F1E"/>
          <w:sz w:val="22"/>
          <w:szCs w:val="22"/>
          <w:u w:val="single"/>
        </w:rPr>
        <w:t>Prescripción</w:t>
      </w:r>
      <w:r w:rsidRPr="00814932">
        <w:rPr>
          <w:rFonts w:asciiTheme="minorHAnsi" w:hAnsiTheme="minorHAnsi"/>
          <w:color w:val="201F1E"/>
          <w:sz w:val="22"/>
          <w:szCs w:val="22"/>
        </w:rPr>
        <w:t xml:space="preserve"> en Prescriptools</w:t>
      </w:r>
      <w:r>
        <w:rPr>
          <w:rFonts w:asciiTheme="minorHAnsi" w:hAnsiTheme="minorHAnsi"/>
          <w:color w:val="201F1E"/>
          <w:sz w:val="22"/>
          <w:szCs w:val="22"/>
        </w:rPr>
        <w:t xml:space="preserve"> previa </w:t>
      </w:r>
      <w:r w:rsidRPr="00C527DA">
        <w:rPr>
          <w:rFonts w:asciiTheme="minorHAnsi" w:hAnsiTheme="minorHAnsi"/>
          <w:b/>
          <w:color w:val="201F1E"/>
          <w:sz w:val="22"/>
          <w:szCs w:val="22"/>
        </w:rPr>
        <w:t>consulta telefónica con farmacia</w:t>
      </w:r>
      <w:r>
        <w:rPr>
          <w:rFonts w:asciiTheme="minorHAnsi" w:hAnsiTheme="minorHAnsi"/>
          <w:color w:val="201F1E"/>
          <w:sz w:val="22"/>
          <w:szCs w:val="22"/>
        </w:rPr>
        <w:t>.</w:t>
      </w:r>
    </w:p>
    <w:p w:rsidR="003D7631" w:rsidRPr="003D7631" w:rsidRDefault="003D7631" w:rsidP="00D46BF1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201F1E"/>
          <w:sz w:val="22"/>
          <w:szCs w:val="22"/>
          <w:u w:val="single"/>
        </w:rPr>
        <w:t>Validación</w:t>
      </w:r>
      <w:r w:rsidRPr="003D7631">
        <w:rPr>
          <w:rFonts w:asciiTheme="minorHAnsi" w:hAnsiTheme="minorHAnsi"/>
          <w:color w:val="201F1E"/>
          <w:sz w:val="22"/>
          <w:szCs w:val="22"/>
        </w:rPr>
        <w:t xml:space="preserve"> en Farmatools según los criterios establecidos por la AEMPS:</w:t>
      </w:r>
    </w:p>
    <w:p w:rsidR="00466621" w:rsidRPr="00466621" w:rsidRDefault="00466621" w:rsidP="00466621">
      <w:pPr>
        <w:ind w:left="348"/>
        <w:rPr>
          <w:rFonts w:eastAsia="Times New Roman" w:cs="Times New Roman"/>
          <w:b/>
          <w:color w:val="201F1E"/>
          <w:bdr w:val="none" w:sz="0" w:space="0" w:color="auto" w:frame="1"/>
        </w:rPr>
      </w:pPr>
      <w:r w:rsidRPr="00466621">
        <w:rPr>
          <w:rFonts w:eastAsia="Times New Roman" w:cs="Times New Roman"/>
          <w:b/>
          <w:color w:val="201F1E"/>
          <w:bdr w:val="none" w:sz="0" w:space="0" w:color="auto" w:frame="1"/>
        </w:rPr>
        <w:t xml:space="preserve">Criterios de solicitud 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>Neumonia intersticial con insuficiencia respiratoria grave (score = 2)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 xml:space="preserve">Empeoramiento rápido respiratorio que necesita ventilación no invasiva o invasiva (COVID respiratory severity scale ≥ 3) 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 xml:space="preserve">Presencia de fallo orgánico extrapulmonar (principalmente Shock o escala SOFA score ≥3) 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 xml:space="preserve">Criterios de Respuesta Inflamatoria Sistémica grave </w:t>
      </w:r>
    </w:p>
    <w:p w:rsidR="00466621" w:rsidRPr="00466621" w:rsidRDefault="00466621" w:rsidP="00466621">
      <w:pPr>
        <w:pStyle w:val="Prrafodelista"/>
        <w:numPr>
          <w:ilvl w:val="2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 xml:space="preserve">Adultos: Elevados niveles de IL-6 (&gt; 40 pg/ml) (como alternativa elevados niveles de dimero-D (&gt; 1500) o D dímero en progresivo aumento) </w:t>
      </w:r>
    </w:p>
    <w:p w:rsidR="00466621" w:rsidRPr="00466621" w:rsidRDefault="00466621" w:rsidP="00466621">
      <w:pPr>
        <w:pStyle w:val="Prrafodelista"/>
        <w:numPr>
          <w:ilvl w:val="2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lastRenderedPageBreak/>
        <w:t>Niños: Elevados niveles de IL-6 (&gt; 3.5 pg/ml) (en alternativa elevados niveles de dimero-D (&gt; 400) o D dímero en progresivo aumento)</w:t>
      </w:r>
    </w:p>
    <w:p w:rsidR="00466621" w:rsidRPr="00466621" w:rsidRDefault="00466621" w:rsidP="00466621">
      <w:pPr>
        <w:ind w:left="348"/>
        <w:rPr>
          <w:rFonts w:eastAsia="Times New Roman" w:cs="Times New Roman"/>
          <w:b/>
          <w:color w:val="201F1E"/>
          <w:bdr w:val="none" w:sz="0" w:space="0" w:color="auto" w:frame="1"/>
        </w:rPr>
      </w:pPr>
      <w:r w:rsidRPr="00466621">
        <w:rPr>
          <w:rFonts w:eastAsia="Times New Roman" w:cs="Times New Roman"/>
          <w:b/>
          <w:color w:val="201F1E"/>
          <w:bdr w:val="none" w:sz="0" w:space="0" w:color="auto" w:frame="1"/>
        </w:rPr>
        <w:t>Criterios de exclusión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>AST/ALT con valores superiores a 5 veces los niveles de normalidad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Neutrofilos &lt; 500 células</w:t>
      </w:r>
      <w:r w:rsidRPr="00466621">
        <w:rPr>
          <w:rFonts w:cs="Arial"/>
          <w:bCs/>
          <w:szCs w:val="20"/>
        </w:rPr>
        <w:t xml:space="preserve">/mmc 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Plaquetas &lt; 50.000 células</w:t>
      </w:r>
      <w:r w:rsidRPr="00466621">
        <w:rPr>
          <w:rFonts w:cs="Arial"/>
          <w:bCs/>
          <w:szCs w:val="20"/>
        </w:rPr>
        <w:t>/mmc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>Sepsis documentada por otros patógenos que no sean COVID-19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 xml:space="preserve">Presencia de comorbilidad que puede llevar según juicio clínico a mal pronóstico 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>Diverticulitis complicada o perforación intestinal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>Infección cutánea en curso (p.e</w:t>
      </w:r>
      <w:r>
        <w:rPr>
          <w:rFonts w:cs="Arial"/>
          <w:bCs/>
          <w:szCs w:val="20"/>
        </w:rPr>
        <w:t>.</w:t>
      </w:r>
      <w:r w:rsidRPr="00466621">
        <w:rPr>
          <w:rFonts w:cs="Arial"/>
          <w:bCs/>
          <w:szCs w:val="20"/>
        </w:rPr>
        <w:t xml:space="preserve"> piodermitis)</w:t>
      </w:r>
    </w:p>
    <w:p w:rsidR="00466621" w:rsidRPr="00466621" w:rsidRDefault="00466621" w:rsidP="00466621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cs="Arial"/>
          <w:bCs/>
          <w:szCs w:val="20"/>
        </w:rPr>
      </w:pPr>
      <w:r w:rsidRPr="00466621">
        <w:rPr>
          <w:rFonts w:cs="Arial"/>
          <w:bCs/>
          <w:szCs w:val="20"/>
        </w:rPr>
        <w:t>Terapia inmunosupresora anti-rechazo</w:t>
      </w:r>
    </w:p>
    <w:p w:rsidR="00466621" w:rsidRPr="006B35FD" w:rsidRDefault="00466621" w:rsidP="00466621">
      <w:pPr>
        <w:pStyle w:val="xxmsonormal"/>
        <w:shd w:val="clear" w:color="auto" w:fill="FFFFFF"/>
        <w:spacing w:before="0" w:beforeAutospacing="0" w:after="120" w:afterAutospacing="0"/>
        <w:ind w:left="144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</w:p>
    <w:p w:rsidR="00822555" w:rsidRDefault="00064EAE" w:rsidP="000A4E95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>INTERFERON BETA-1B</w:t>
      </w:r>
    </w:p>
    <w:p w:rsidR="00822555" w:rsidRDefault="00822555" w:rsidP="00822555">
      <w:pPr>
        <w:pStyle w:val="xxmsonormal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3C1074" w:rsidRDefault="00064EAE" w:rsidP="003C1074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C56A9F">
        <w:rPr>
          <w:rFonts w:asciiTheme="minorHAnsi" w:hAnsiTheme="minorHAnsi"/>
          <w:color w:val="201F1E"/>
          <w:sz w:val="22"/>
          <w:szCs w:val="22"/>
          <w:u w:val="single"/>
        </w:rPr>
        <w:t>Presentación</w:t>
      </w:r>
      <w:r>
        <w:rPr>
          <w:rFonts w:asciiTheme="minorHAnsi" w:hAnsiTheme="minorHAnsi"/>
          <w:color w:val="201F1E"/>
          <w:sz w:val="22"/>
          <w:szCs w:val="22"/>
        </w:rPr>
        <w:t>: BETAFERON 250</w:t>
      </w:r>
      <w:r w:rsidR="00C45609">
        <w:rPr>
          <w:rFonts w:asciiTheme="minorHAnsi" w:hAnsi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</w:rPr>
        <w:t>mcg/ml y EXTAVIA 250</w:t>
      </w:r>
      <w:r w:rsidR="00C45609">
        <w:rPr>
          <w:rFonts w:asciiTheme="minorHAnsi" w:hAnsi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</w:rPr>
        <w:t>mcg/ml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.</w:t>
      </w:r>
      <w:r w:rsidR="003C1074" w:rsidRPr="003C1074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="003C1074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No disponible en el hospital.</w:t>
      </w:r>
    </w:p>
    <w:p w:rsidR="00064EAE" w:rsidRPr="006B35FD" w:rsidRDefault="00064EAE" w:rsidP="00064EAE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064EAE">
        <w:rPr>
          <w:rFonts w:asciiTheme="minorHAnsi" w:hAnsiTheme="minorHAnsi"/>
          <w:color w:val="201F1E"/>
          <w:sz w:val="22"/>
          <w:szCs w:val="22"/>
          <w:u w:val="single"/>
          <w:bdr w:val="none" w:sz="0" w:space="0" w:color="auto" w:frame="1"/>
        </w:rPr>
        <w:t>Acceso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: solicitud restringida a través de la página web de medicamentos en situaciones especiales de la AEMPS</w:t>
      </w:r>
      <w:r w:rsidR="00C45609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, únicamente para las indicaciones autorizadas en ficha técnica por problemas de suministro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. </w:t>
      </w:r>
      <w:r w:rsidR="00C45609" w:rsidRPr="00C45609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>No hay posibilidad de solicitud para tratamiento de infección por</w:t>
      </w:r>
      <w:r w:rsidRPr="00C45609">
        <w:rPr>
          <w:rFonts w:asciiTheme="minorHAnsi" w:hAnsiTheme="minorHAnsi"/>
          <w:b/>
          <w:i/>
          <w:color w:val="201F1E"/>
          <w:sz w:val="22"/>
          <w:szCs w:val="22"/>
        </w:rPr>
        <w:t xml:space="preserve"> </w:t>
      </w:r>
      <w:r w:rsidRPr="00C45609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>SARS-CoV-2</w:t>
      </w:r>
      <w:r w:rsidR="00C45609" w:rsidRPr="00C45609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 xml:space="preserve"> </w:t>
      </w:r>
      <w:r w:rsidR="00C45609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hasta que se restablezca el suministro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.</w:t>
      </w:r>
    </w:p>
    <w:p w:rsidR="00064EAE" w:rsidRDefault="00064EAE" w:rsidP="00064EAE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064EAE">
        <w:rPr>
          <w:rFonts w:asciiTheme="minorHAnsi" w:hAnsiTheme="minorHAnsi"/>
          <w:color w:val="201F1E"/>
          <w:sz w:val="22"/>
          <w:szCs w:val="22"/>
          <w:u w:val="single"/>
        </w:rPr>
        <w:t>Dosis adultos</w:t>
      </w:r>
      <w:r>
        <w:rPr>
          <w:rFonts w:asciiTheme="minorHAnsi" w:hAnsiTheme="minorHAnsi"/>
          <w:color w:val="201F1E"/>
          <w:sz w:val="22"/>
          <w:szCs w:val="22"/>
        </w:rPr>
        <w:t xml:space="preserve">: </w:t>
      </w:r>
      <w:r w:rsidR="00C45609">
        <w:rPr>
          <w:rFonts w:asciiTheme="minorHAnsi" w:hAnsiTheme="minorHAnsi"/>
          <w:color w:val="201F1E"/>
          <w:sz w:val="22"/>
          <w:szCs w:val="22"/>
        </w:rPr>
        <w:t>250 mcg vía SC cada 48 horas durante 14 días.</w:t>
      </w:r>
    </w:p>
    <w:p w:rsidR="00240DE8" w:rsidRDefault="00240DE8" w:rsidP="00240DE8">
      <w:pPr>
        <w:pStyle w:val="xxmsonormal"/>
        <w:shd w:val="clear" w:color="auto" w:fill="FFFFFF"/>
        <w:spacing w:before="0" w:beforeAutospacing="0" w:after="120" w:afterAutospacing="0"/>
        <w:ind w:left="144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240DE8" w:rsidRDefault="00240DE8" w:rsidP="00240DE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240DE8">
        <w:rPr>
          <w:rFonts w:asciiTheme="minorHAnsi" w:hAnsiTheme="minorHAnsi"/>
          <w:color w:val="201F1E"/>
          <w:sz w:val="22"/>
          <w:szCs w:val="22"/>
        </w:rPr>
        <w:t>INTERFERON ALFA-</w:t>
      </w:r>
      <w:r>
        <w:rPr>
          <w:rFonts w:asciiTheme="minorHAnsi" w:hAnsiTheme="minorHAnsi"/>
          <w:color w:val="201F1E"/>
          <w:sz w:val="22"/>
          <w:szCs w:val="22"/>
        </w:rPr>
        <w:t>2B</w:t>
      </w:r>
    </w:p>
    <w:p w:rsidR="00240DE8" w:rsidRDefault="00240DE8" w:rsidP="00240DE8">
      <w:pPr>
        <w:pStyle w:val="xxmsonormal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240DE8" w:rsidRDefault="00240DE8" w:rsidP="00240DE8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C56A9F">
        <w:rPr>
          <w:rFonts w:asciiTheme="minorHAnsi" w:hAnsiTheme="minorHAnsi"/>
          <w:color w:val="201F1E"/>
          <w:sz w:val="22"/>
          <w:szCs w:val="22"/>
          <w:u w:val="single"/>
        </w:rPr>
        <w:t>Presentación</w:t>
      </w:r>
      <w:r>
        <w:rPr>
          <w:rFonts w:asciiTheme="minorHAnsi" w:hAnsiTheme="minorHAnsi"/>
          <w:color w:val="201F1E"/>
          <w:sz w:val="22"/>
          <w:szCs w:val="22"/>
        </w:rPr>
        <w:t>: INTRON A 10 millones de UI/ml solución inyectable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.</w:t>
      </w:r>
      <w:r w:rsidR="003C1074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No disponible en el hospital.</w:t>
      </w:r>
    </w:p>
    <w:p w:rsidR="00240DE8" w:rsidRPr="006B35FD" w:rsidRDefault="00240DE8" w:rsidP="00240DE8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064EAE">
        <w:rPr>
          <w:rFonts w:asciiTheme="minorHAnsi" w:hAnsiTheme="minorHAnsi"/>
          <w:color w:val="201F1E"/>
          <w:sz w:val="22"/>
          <w:szCs w:val="22"/>
          <w:u w:val="single"/>
          <w:bdr w:val="none" w:sz="0" w:space="0" w:color="auto" w:frame="1"/>
        </w:rPr>
        <w:t>Acceso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: solicitud restringida a través de la página web de medicamentos en situaciones especiales de la AEMPS, únicamente para las indicaciones autorizadas en ficha técnica por problemas de suministro. </w:t>
      </w:r>
      <w:r w:rsidRPr="00C45609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>No hay posibilidad de solicitud para tratamiento de infección por</w:t>
      </w:r>
      <w:r w:rsidRPr="00C45609">
        <w:rPr>
          <w:rFonts w:asciiTheme="minorHAnsi" w:hAnsiTheme="minorHAnsi"/>
          <w:b/>
          <w:i/>
          <w:color w:val="201F1E"/>
          <w:sz w:val="22"/>
          <w:szCs w:val="22"/>
        </w:rPr>
        <w:t xml:space="preserve"> </w:t>
      </w:r>
      <w:r w:rsidRPr="00C45609">
        <w:rPr>
          <w:rFonts w:asciiTheme="minorHAnsi" w:hAnsiTheme="minorHAnsi"/>
          <w:b/>
          <w:color w:val="201F1E"/>
          <w:sz w:val="22"/>
          <w:szCs w:val="22"/>
          <w:bdr w:val="none" w:sz="0" w:space="0" w:color="auto" w:frame="1"/>
        </w:rPr>
        <w:t xml:space="preserve">SARS-CoV-2 </w:t>
      </w: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hasta que se restablezca el suministro.</w:t>
      </w:r>
    </w:p>
    <w:p w:rsidR="00240DE8" w:rsidRDefault="00240DE8" w:rsidP="00240DE8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 w:rsidRPr="00064EAE">
        <w:rPr>
          <w:rFonts w:asciiTheme="minorHAnsi" w:hAnsiTheme="minorHAnsi"/>
          <w:color w:val="201F1E"/>
          <w:sz w:val="22"/>
          <w:szCs w:val="22"/>
          <w:u w:val="single"/>
        </w:rPr>
        <w:t>Dosis adultos</w:t>
      </w:r>
      <w:r>
        <w:rPr>
          <w:rFonts w:asciiTheme="minorHAnsi" w:hAnsiTheme="minorHAnsi"/>
          <w:color w:val="201F1E"/>
          <w:sz w:val="22"/>
          <w:szCs w:val="22"/>
        </w:rPr>
        <w:t>: 5 millones UI agregando 2 ml de suero estéril, dos veces al día inhalado. Nebulización 100.000-200.000</w:t>
      </w:r>
      <w:r w:rsidR="00E56AE4">
        <w:rPr>
          <w:rFonts w:asciiTheme="minorHAnsi" w:hAnsiTheme="minorHAnsi"/>
          <w:color w:val="201F1E"/>
          <w:sz w:val="22"/>
          <w:szCs w:val="22"/>
        </w:rPr>
        <w:t xml:space="preserve"> UI</w:t>
      </w:r>
      <w:r>
        <w:rPr>
          <w:rFonts w:asciiTheme="minorHAnsi" w:hAnsiTheme="minorHAnsi"/>
          <w:color w:val="201F1E"/>
          <w:sz w:val="22"/>
          <w:szCs w:val="22"/>
        </w:rPr>
        <w:t>/Kg para casos leves y 200.000-400.000 UI/Kg para casos graves, dos veces al día durante 5-7 días.</w:t>
      </w:r>
    </w:p>
    <w:p w:rsidR="007C5BF0" w:rsidRDefault="007C5BF0" w:rsidP="007C5BF0">
      <w:pPr>
        <w:pStyle w:val="xxmsonormal"/>
        <w:shd w:val="clear" w:color="auto" w:fill="FFFFFF"/>
        <w:spacing w:before="0" w:beforeAutospacing="0" w:after="120" w:afterAutospacing="0"/>
        <w:ind w:left="1440"/>
        <w:jc w:val="both"/>
        <w:rPr>
          <w:rFonts w:asciiTheme="minorHAnsi" w:hAnsiTheme="minorHAnsi"/>
          <w:color w:val="201F1E"/>
          <w:sz w:val="22"/>
          <w:szCs w:val="22"/>
        </w:rPr>
      </w:pPr>
    </w:p>
    <w:p w:rsidR="007C5BF0" w:rsidRDefault="007C5BF0" w:rsidP="007C5BF0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 xml:space="preserve">OTROS TRATAMIENTOS </w:t>
      </w:r>
      <w:r w:rsidR="00525B84">
        <w:rPr>
          <w:rFonts w:asciiTheme="minorHAnsi" w:hAnsiTheme="minorHAnsi"/>
          <w:color w:val="201F1E"/>
          <w:sz w:val="22"/>
          <w:szCs w:val="22"/>
        </w:rPr>
        <w:t xml:space="preserve">EMPLEADOS </w:t>
      </w:r>
      <w:r>
        <w:rPr>
          <w:rFonts w:asciiTheme="minorHAnsi" w:hAnsiTheme="minorHAnsi"/>
          <w:color w:val="201F1E"/>
          <w:sz w:val="22"/>
          <w:szCs w:val="22"/>
        </w:rPr>
        <w:t>FUERA DE INDICACIÓN</w:t>
      </w:r>
    </w:p>
    <w:p w:rsidR="007C5BF0" w:rsidRPr="0011004D" w:rsidRDefault="00525B84" w:rsidP="007C5BF0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i/>
          <w:color w:val="201F1E"/>
          <w:sz w:val="22"/>
          <w:szCs w:val="22"/>
          <w:highlight w:val="lightGray"/>
        </w:rPr>
      </w:pPr>
      <w:r w:rsidRPr="005E09E5">
        <w:rPr>
          <w:rFonts w:asciiTheme="minorHAnsi" w:hAnsiTheme="minorHAnsi"/>
          <w:i/>
          <w:color w:val="201F1E"/>
          <w:sz w:val="22"/>
          <w:szCs w:val="22"/>
          <w:highlight w:val="lightGray"/>
          <w:u w:val="single"/>
        </w:rPr>
        <w:t>Presentacio</w:t>
      </w:r>
      <w:r w:rsidR="007C5BF0" w:rsidRPr="005E09E5">
        <w:rPr>
          <w:rFonts w:asciiTheme="minorHAnsi" w:hAnsiTheme="minorHAnsi"/>
          <w:i/>
          <w:color w:val="201F1E"/>
          <w:sz w:val="22"/>
          <w:szCs w:val="22"/>
          <w:highlight w:val="lightGray"/>
          <w:u w:val="single"/>
        </w:rPr>
        <w:t>n</w:t>
      </w:r>
      <w:r w:rsidRPr="005E09E5">
        <w:rPr>
          <w:rFonts w:asciiTheme="minorHAnsi" w:hAnsiTheme="minorHAnsi"/>
          <w:i/>
          <w:color w:val="201F1E"/>
          <w:sz w:val="22"/>
          <w:szCs w:val="22"/>
          <w:highlight w:val="lightGray"/>
          <w:u w:val="single"/>
        </w:rPr>
        <w:t>es</w:t>
      </w:r>
      <w:r w:rsidR="007C5BF0" w:rsidRPr="005E09E5">
        <w:rPr>
          <w:rFonts w:asciiTheme="minorHAnsi" w:hAnsiTheme="minorHAnsi"/>
          <w:i/>
          <w:color w:val="201F1E"/>
          <w:sz w:val="22"/>
          <w:szCs w:val="22"/>
          <w:highlight w:val="lightGray"/>
        </w:rPr>
        <w:t>: Sarilumab</w:t>
      </w:r>
      <w:r w:rsidRPr="005E09E5">
        <w:rPr>
          <w:rFonts w:asciiTheme="minorHAnsi" w:hAnsiTheme="minorHAnsi"/>
          <w:i/>
          <w:color w:val="201F1E"/>
          <w:sz w:val="22"/>
          <w:szCs w:val="22"/>
          <w:highlight w:val="lightGray"/>
        </w:rPr>
        <w:t>, siltuximab y ruxolitinib</w:t>
      </w:r>
      <w:r w:rsidR="003C1074" w:rsidRPr="005E09E5">
        <w:rPr>
          <w:rFonts w:asciiTheme="minorHAnsi" w:hAnsiTheme="minorHAnsi"/>
          <w:i/>
          <w:color w:val="201F1E"/>
          <w:sz w:val="22"/>
          <w:szCs w:val="22"/>
          <w:highlight w:val="lightGray"/>
        </w:rPr>
        <w:t xml:space="preserve">. </w:t>
      </w:r>
      <w:r w:rsidR="003C1074" w:rsidRPr="0011004D">
        <w:rPr>
          <w:rFonts w:asciiTheme="minorHAnsi" w:hAnsiTheme="minorHAnsi"/>
          <w:i/>
          <w:color w:val="201F1E"/>
          <w:sz w:val="22"/>
          <w:szCs w:val="22"/>
          <w:highlight w:val="lightGray"/>
        </w:rPr>
        <w:t>No disponibles en el hospital.</w:t>
      </w:r>
    </w:p>
    <w:p w:rsidR="00240DE8" w:rsidRPr="00525B84" w:rsidRDefault="00525B84" w:rsidP="00240DE8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201F1E"/>
          <w:sz w:val="22"/>
          <w:szCs w:val="22"/>
          <w:highlight w:val="lightGray"/>
        </w:rPr>
      </w:pPr>
      <w:r w:rsidRPr="00525B84">
        <w:rPr>
          <w:rFonts w:asciiTheme="minorHAnsi" w:hAnsiTheme="minorHAnsi"/>
          <w:i/>
          <w:color w:val="201F1E"/>
          <w:sz w:val="22"/>
          <w:szCs w:val="22"/>
          <w:highlight w:val="lightGray"/>
          <w:u w:val="single"/>
          <w:bdr w:val="none" w:sz="0" w:space="0" w:color="auto" w:frame="1"/>
        </w:rPr>
        <w:t>Acceso</w:t>
      </w:r>
      <w:r w:rsidRPr="00525B84">
        <w:rPr>
          <w:rFonts w:asciiTheme="minorHAnsi" w:hAnsiTheme="minorHAnsi"/>
          <w:i/>
          <w:color w:val="201F1E"/>
          <w:sz w:val="22"/>
          <w:szCs w:val="22"/>
          <w:highlight w:val="lightGray"/>
          <w:bdr w:val="none" w:sz="0" w:space="0" w:color="auto" w:frame="1"/>
        </w:rPr>
        <w:t>: solicitud restringida a través de l</w:t>
      </w:r>
      <w:r>
        <w:rPr>
          <w:rFonts w:asciiTheme="minorHAnsi" w:hAnsiTheme="minorHAnsi"/>
          <w:i/>
          <w:color w:val="201F1E"/>
          <w:sz w:val="22"/>
          <w:szCs w:val="22"/>
          <w:highlight w:val="lightGray"/>
          <w:bdr w:val="none" w:sz="0" w:space="0" w:color="auto" w:frame="1"/>
        </w:rPr>
        <w:t xml:space="preserve">a página web de medicamentos </w:t>
      </w:r>
      <w:r w:rsidRPr="00525B84">
        <w:rPr>
          <w:rFonts w:asciiTheme="minorHAnsi" w:hAnsiTheme="minorHAnsi"/>
          <w:i/>
          <w:color w:val="201F1E"/>
          <w:sz w:val="22"/>
          <w:szCs w:val="22"/>
          <w:highlight w:val="lightGray"/>
          <w:bdr w:val="none" w:sz="0" w:space="0" w:color="auto" w:frame="1"/>
        </w:rPr>
        <w:t>en situaciones especiales de la AEMPS situaciones especiales de la AEMPS.</w:t>
      </w:r>
      <w:r>
        <w:rPr>
          <w:rFonts w:asciiTheme="minorHAnsi" w:hAnsiTheme="minorHAnsi"/>
          <w:i/>
          <w:color w:val="201F1E"/>
          <w:sz w:val="22"/>
          <w:szCs w:val="22"/>
          <w:highlight w:val="lightGray"/>
          <w:bdr w:val="none" w:sz="0" w:space="0" w:color="auto" w:frame="1"/>
        </w:rPr>
        <w:t xml:space="preserve"> </w:t>
      </w:r>
    </w:p>
    <w:p w:rsidR="00525B84" w:rsidRPr="00525B84" w:rsidRDefault="00525B84" w:rsidP="00525B84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201F1E"/>
          <w:sz w:val="22"/>
          <w:szCs w:val="22"/>
          <w:highlight w:val="lightGray"/>
          <w:u w:val="single"/>
          <w:bdr w:val="none" w:sz="0" w:space="0" w:color="auto" w:frame="1"/>
        </w:rPr>
      </w:pPr>
      <w:r w:rsidRPr="00525B84">
        <w:rPr>
          <w:rFonts w:asciiTheme="minorHAnsi" w:hAnsiTheme="minorHAnsi"/>
          <w:i/>
          <w:color w:val="201F1E"/>
          <w:sz w:val="22"/>
          <w:szCs w:val="22"/>
          <w:highlight w:val="lightGray"/>
          <w:u w:val="single"/>
          <w:bdr w:val="none" w:sz="0" w:space="0" w:color="auto" w:frame="1"/>
        </w:rPr>
        <w:lastRenderedPageBreak/>
        <w:t>Prescripción</w:t>
      </w:r>
      <w:r w:rsidRPr="0011004D">
        <w:rPr>
          <w:rFonts w:asciiTheme="minorHAnsi" w:hAnsiTheme="minorHAnsi"/>
          <w:i/>
          <w:color w:val="201F1E"/>
          <w:sz w:val="22"/>
          <w:szCs w:val="22"/>
          <w:highlight w:val="lightGray"/>
          <w:bdr w:val="none" w:sz="0" w:space="0" w:color="auto" w:frame="1"/>
        </w:rPr>
        <w:t>: no disponible en stock, solicitud individualizada previa consulta telefónica con farmacia.</w:t>
      </w:r>
    </w:p>
    <w:p w:rsidR="00525B84" w:rsidRPr="00525B84" w:rsidRDefault="00525B84" w:rsidP="00525B84">
      <w:pPr>
        <w:pStyle w:val="xxmsonormal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/>
          <w:i/>
          <w:color w:val="201F1E"/>
          <w:sz w:val="22"/>
          <w:szCs w:val="22"/>
          <w:highlight w:val="lightGray"/>
        </w:rPr>
      </w:pPr>
    </w:p>
    <w:p w:rsidR="006D541C" w:rsidRDefault="006D541C" w:rsidP="000A4E95"/>
    <w:p w:rsidR="00C566E4" w:rsidRDefault="00C566E4" w:rsidP="000A4E95"/>
    <w:p w:rsidR="00525B84" w:rsidRDefault="00525B84" w:rsidP="000A4E95"/>
    <w:p w:rsidR="00525B84" w:rsidRDefault="00525B84" w:rsidP="000A4E95"/>
    <w:p w:rsidR="00525B84" w:rsidRDefault="00525B84" w:rsidP="000A4E95"/>
    <w:p w:rsidR="00525B84" w:rsidRDefault="00525B84" w:rsidP="000A4E95"/>
    <w:p w:rsidR="00525B84" w:rsidRDefault="00525B84" w:rsidP="000A4E95"/>
    <w:p w:rsidR="00525B84" w:rsidRDefault="00525B84" w:rsidP="000A4E95"/>
    <w:p w:rsidR="00525B84" w:rsidRDefault="00525B84" w:rsidP="000A4E95"/>
    <w:p w:rsidR="00525B84" w:rsidRDefault="00525B84" w:rsidP="000A4E95"/>
    <w:p w:rsidR="00525B84" w:rsidRDefault="00525B84" w:rsidP="000A4E95"/>
    <w:p w:rsidR="00C566E4" w:rsidRDefault="00C566E4" w:rsidP="003E6774">
      <w:pPr>
        <w:jc w:val="right"/>
      </w:pPr>
    </w:p>
    <w:p w:rsidR="00C566E4" w:rsidRDefault="003E6774" w:rsidP="003E6774">
      <w:pPr>
        <w:jc w:val="right"/>
      </w:pPr>
      <w:r>
        <w:t>I</w:t>
      </w:r>
      <w:r w:rsidR="00F40E0E">
        <w:t>tzi</w:t>
      </w:r>
      <w:r>
        <w:t>ar de la Maza, Estíbaliz Picaza y Raúl Martínez</w:t>
      </w:r>
    </w:p>
    <w:p w:rsidR="00C566E4" w:rsidRDefault="00C566E4" w:rsidP="00C566E4">
      <w:pPr>
        <w:jc w:val="right"/>
      </w:pPr>
      <w:r>
        <w:t>Servicio de Farmacia</w:t>
      </w:r>
    </w:p>
    <w:p w:rsidR="00C566E4" w:rsidRDefault="00C566E4" w:rsidP="00C566E4">
      <w:pPr>
        <w:jc w:val="right"/>
      </w:pPr>
      <w:r>
        <w:t>Hospital Santiago Apóstol</w:t>
      </w:r>
    </w:p>
    <w:sectPr w:rsidR="00C566E4" w:rsidSect="00443FD0">
      <w:headerReference w:type="default" r:id="rId7"/>
      <w:footerReference w:type="default" r:id="rId8"/>
      <w:pgSz w:w="11906" w:h="16838"/>
      <w:pgMar w:top="101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0C" w:rsidRDefault="0038630C" w:rsidP="00443FD0">
      <w:pPr>
        <w:spacing w:after="0" w:line="240" w:lineRule="auto"/>
      </w:pPr>
      <w:r>
        <w:separator/>
      </w:r>
    </w:p>
  </w:endnote>
  <w:endnote w:type="continuationSeparator" w:id="0">
    <w:p w:rsidR="0038630C" w:rsidRDefault="0038630C" w:rsidP="0044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68506"/>
      <w:docPartObj>
        <w:docPartGallery w:val="Page Numbers (Bottom of Page)"/>
        <w:docPartUnique/>
      </w:docPartObj>
    </w:sdtPr>
    <w:sdtEndPr/>
    <w:sdtContent>
      <w:p w:rsidR="007C5BF0" w:rsidRDefault="007C5B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890">
          <w:rPr>
            <w:noProof/>
          </w:rPr>
          <w:t>4</w:t>
        </w:r>
        <w:r>
          <w:fldChar w:fldCharType="end"/>
        </w:r>
      </w:p>
    </w:sdtContent>
  </w:sdt>
  <w:p w:rsidR="007C5BF0" w:rsidRDefault="007C5B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0C" w:rsidRDefault="0038630C" w:rsidP="00443FD0">
      <w:pPr>
        <w:spacing w:after="0" w:line="240" w:lineRule="auto"/>
      </w:pPr>
      <w:r>
        <w:separator/>
      </w:r>
    </w:p>
  </w:footnote>
  <w:footnote w:type="continuationSeparator" w:id="0">
    <w:p w:rsidR="0038630C" w:rsidRDefault="0038630C" w:rsidP="0044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F0" w:rsidRDefault="007C5BF0">
    <w:pPr>
      <w:pStyle w:val="Encabezado"/>
    </w:pPr>
  </w:p>
  <w:tbl>
    <w:tblPr>
      <w:tblW w:w="8935" w:type="dxa"/>
      <w:tblLook w:val="01E0" w:firstRow="1" w:lastRow="1" w:firstColumn="1" w:lastColumn="1" w:noHBand="0" w:noVBand="0"/>
    </w:tblPr>
    <w:tblGrid>
      <w:gridCol w:w="1370"/>
      <w:gridCol w:w="5462"/>
      <w:gridCol w:w="2103"/>
    </w:tblGrid>
    <w:tr w:rsidR="007C5BF0" w:rsidTr="006B35FD">
      <w:trPr>
        <w:trHeight w:val="393"/>
      </w:trPr>
      <w:tc>
        <w:tcPr>
          <w:tcW w:w="1370" w:type="dxa"/>
          <w:shd w:val="clear" w:color="auto" w:fill="auto"/>
        </w:tcPr>
        <w:p w:rsidR="007C5BF0" w:rsidRDefault="007C5BF0" w:rsidP="006B35FD">
          <w:pPr>
            <w:pStyle w:val="Ttulo1"/>
          </w:pPr>
          <w:r>
            <w:rPr>
              <w:noProof/>
            </w:rPr>
            <w:drawing>
              <wp:inline distT="0" distB="0" distL="0" distR="0" wp14:anchorId="720D949A" wp14:editId="0E0AD574">
                <wp:extent cx="703580" cy="627380"/>
                <wp:effectExtent l="0" t="0" r="1270" b="1270"/>
                <wp:docPr id="1" name="Imagen 1" descr="CASA HOSPITAL AZUL AMARIL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SA HOSPITAL AZUL AMARILLA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  <w:shd w:val="clear" w:color="auto" w:fill="auto"/>
        </w:tcPr>
        <w:p w:rsidR="007C5BF0" w:rsidRPr="008B4DB3" w:rsidRDefault="007C5BF0" w:rsidP="006B35FD">
          <w:pPr>
            <w:rPr>
              <w:rFonts w:ascii="Albertus Medium" w:hAnsi="Albertus Medium"/>
              <w:b/>
              <w:bCs/>
              <w:color w:val="3366FF"/>
              <w:sz w:val="16"/>
            </w:rPr>
          </w:pPr>
        </w:p>
        <w:p w:rsidR="007C5BF0" w:rsidRPr="008B4DB3" w:rsidRDefault="007C5BF0" w:rsidP="006B35FD">
          <w:pPr>
            <w:spacing w:after="0"/>
            <w:rPr>
              <w:rFonts w:ascii="Albertus Medium" w:hAnsi="Albertus Medium"/>
              <w:b/>
              <w:bCs/>
              <w:sz w:val="16"/>
            </w:rPr>
          </w:pPr>
          <w:r w:rsidRPr="008B4DB3">
            <w:rPr>
              <w:rFonts w:ascii="Albertus Medium" w:hAnsi="Albertus Medium"/>
              <w:b/>
              <w:bCs/>
              <w:sz w:val="16"/>
            </w:rPr>
            <w:t>Hospital Comarcal</w:t>
          </w:r>
        </w:p>
        <w:p w:rsidR="007C5BF0" w:rsidRPr="008B4DB3" w:rsidRDefault="007C5BF0" w:rsidP="006B35FD">
          <w:pPr>
            <w:spacing w:after="0"/>
            <w:rPr>
              <w:rFonts w:ascii="Albertus Medium" w:hAnsi="Albertus Medium"/>
              <w:b/>
              <w:bCs/>
              <w:sz w:val="16"/>
            </w:rPr>
          </w:pPr>
          <w:r w:rsidRPr="008B4DB3">
            <w:rPr>
              <w:rFonts w:ascii="Albertus Medium" w:hAnsi="Albertus Medium"/>
              <w:b/>
              <w:bCs/>
              <w:sz w:val="16"/>
            </w:rPr>
            <w:t>“Santiago Apóstol”</w:t>
          </w:r>
        </w:p>
        <w:p w:rsidR="007C5BF0" w:rsidRPr="008B4DB3" w:rsidRDefault="007C5BF0" w:rsidP="006B35FD">
          <w:pPr>
            <w:spacing w:after="0"/>
            <w:rPr>
              <w:rFonts w:ascii="Albertus Medium" w:hAnsi="Albertus Medium"/>
              <w:b/>
              <w:bCs/>
              <w:sz w:val="16"/>
            </w:rPr>
          </w:pPr>
          <w:r w:rsidRPr="008B4DB3">
            <w:rPr>
              <w:rFonts w:ascii="Albertus Medium" w:hAnsi="Albertus Medium"/>
              <w:b/>
              <w:bCs/>
              <w:sz w:val="16"/>
            </w:rPr>
            <w:t>Miranda de Ebro (Burgos)</w:t>
          </w:r>
        </w:p>
        <w:p w:rsidR="007C5BF0" w:rsidRDefault="007C5BF0" w:rsidP="006B35FD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2103" w:type="dxa"/>
          <w:shd w:val="clear" w:color="auto" w:fill="auto"/>
        </w:tcPr>
        <w:p w:rsidR="007C5BF0" w:rsidRDefault="007C5BF0" w:rsidP="006B35FD">
          <w:pPr>
            <w:pStyle w:val="Encabezado"/>
            <w:tabs>
              <w:tab w:val="clear" w:pos="4252"/>
              <w:tab w:val="clear" w:pos="8504"/>
            </w:tabs>
          </w:pPr>
          <w:r>
            <w:object w:dxaOrig="7244" w:dyaOrig="32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41.25pt">
                <v:imagedata r:id="rId2" o:title=""/>
              </v:shape>
              <o:OLEObject Type="Embed" ProgID="MSPhotoEd.3" ShapeID="_x0000_i1025" DrawAspect="Content" ObjectID="_1648968775" r:id="rId3"/>
            </w:object>
          </w:r>
        </w:p>
      </w:tc>
    </w:tr>
  </w:tbl>
  <w:p w:rsidR="007C5BF0" w:rsidRDefault="007C5BF0">
    <w:pPr>
      <w:pStyle w:val="Encabezado"/>
    </w:pPr>
  </w:p>
  <w:p w:rsidR="007C5BF0" w:rsidRDefault="007C5B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C25"/>
    <w:multiLevelType w:val="hybridMultilevel"/>
    <w:tmpl w:val="8638BC3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E9C274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4AE6"/>
    <w:multiLevelType w:val="hybridMultilevel"/>
    <w:tmpl w:val="111E22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763D4"/>
    <w:multiLevelType w:val="hybridMultilevel"/>
    <w:tmpl w:val="0B1479F8"/>
    <w:lvl w:ilvl="0" w:tplc="0C0A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FF"/>
    <w:rsid w:val="00012059"/>
    <w:rsid w:val="00060848"/>
    <w:rsid w:val="00064EAE"/>
    <w:rsid w:val="00074DBD"/>
    <w:rsid w:val="000A4E95"/>
    <w:rsid w:val="000C33A7"/>
    <w:rsid w:val="000D77E8"/>
    <w:rsid w:val="0011004D"/>
    <w:rsid w:val="001101D0"/>
    <w:rsid w:val="001438A2"/>
    <w:rsid w:val="00171441"/>
    <w:rsid w:val="00194CC8"/>
    <w:rsid w:val="001B00BE"/>
    <w:rsid w:val="002316C1"/>
    <w:rsid w:val="00240DE8"/>
    <w:rsid w:val="002447AD"/>
    <w:rsid w:val="002D1FD3"/>
    <w:rsid w:val="002D785D"/>
    <w:rsid w:val="002E5A96"/>
    <w:rsid w:val="003140C5"/>
    <w:rsid w:val="003148AE"/>
    <w:rsid w:val="00324828"/>
    <w:rsid w:val="00336BD2"/>
    <w:rsid w:val="00345B34"/>
    <w:rsid w:val="0036394D"/>
    <w:rsid w:val="0038630C"/>
    <w:rsid w:val="003B30DF"/>
    <w:rsid w:val="003C1074"/>
    <w:rsid w:val="003D6E21"/>
    <w:rsid w:val="003D7631"/>
    <w:rsid w:val="003E6774"/>
    <w:rsid w:val="003F14A9"/>
    <w:rsid w:val="003F4812"/>
    <w:rsid w:val="00443EAC"/>
    <w:rsid w:val="00443FD0"/>
    <w:rsid w:val="00466621"/>
    <w:rsid w:val="00483E91"/>
    <w:rsid w:val="00512569"/>
    <w:rsid w:val="00525B84"/>
    <w:rsid w:val="00557517"/>
    <w:rsid w:val="00571D6C"/>
    <w:rsid w:val="00573F7A"/>
    <w:rsid w:val="00583B9E"/>
    <w:rsid w:val="00593544"/>
    <w:rsid w:val="005C1F29"/>
    <w:rsid w:val="005E09E5"/>
    <w:rsid w:val="00673CA1"/>
    <w:rsid w:val="006B35FD"/>
    <w:rsid w:val="006D541C"/>
    <w:rsid w:val="006F5248"/>
    <w:rsid w:val="00702728"/>
    <w:rsid w:val="0070366A"/>
    <w:rsid w:val="00711001"/>
    <w:rsid w:val="0072670C"/>
    <w:rsid w:val="0074209F"/>
    <w:rsid w:val="007622A0"/>
    <w:rsid w:val="00771D34"/>
    <w:rsid w:val="007C285A"/>
    <w:rsid w:val="007C2E80"/>
    <w:rsid w:val="007C5BF0"/>
    <w:rsid w:val="007D4F4B"/>
    <w:rsid w:val="007E1CB8"/>
    <w:rsid w:val="008059EB"/>
    <w:rsid w:val="00814932"/>
    <w:rsid w:val="00822555"/>
    <w:rsid w:val="00870FE5"/>
    <w:rsid w:val="00875DC2"/>
    <w:rsid w:val="00881219"/>
    <w:rsid w:val="008975C1"/>
    <w:rsid w:val="008976A4"/>
    <w:rsid w:val="008A0B61"/>
    <w:rsid w:val="00934052"/>
    <w:rsid w:val="00934704"/>
    <w:rsid w:val="009527CF"/>
    <w:rsid w:val="00991DFF"/>
    <w:rsid w:val="009F1F3F"/>
    <w:rsid w:val="00A35463"/>
    <w:rsid w:val="00A57DC9"/>
    <w:rsid w:val="00A7393F"/>
    <w:rsid w:val="00AE656E"/>
    <w:rsid w:val="00B05495"/>
    <w:rsid w:val="00B332AB"/>
    <w:rsid w:val="00B5242A"/>
    <w:rsid w:val="00B7464A"/>
    <w:rsid w:val="00B75226"/>
    <w:rsid w:val="00BC4BCC"/>
    <w:rsid w:val="00BD21E5"/>
    <w:rsid w:val="00BD7890"/>
    <w:rsid w:val="00C45609"/>
    <w:rsid w:val="00C527DA"/>
    <w:rsid w:val="00C566E4"/>
    <w:rsid w:val="00C56A9F"/>
    <w:rsid w:val="00C61DCC"/>
    <w:rsid w:val="00C73C03"/>
    <w:rsid w:val="00C910EA"/>
    <w:rsid w:val="00CD2D54"/>
    <w:rsid w:val="00D201D5"/>
    <w:rsid w:val="00D46BF1"/>
    <w:rsid w:val="00D50119"/>
    <w:rsid w:val="00D631F5"/>
    <w:rsid w:val="00DB3274"/>
    <w:rsid w:val="00DD019E"/>
    <w:rsid w:val="00DF57BD"/>
    <w:rsid w:val="00E56AE4"/>
    <w:rsid w:val="00E90F8A"/>
    <w:rsid w:val="00EB4CF5"/>
    <w:rsid w:val="00EE6CDF"/>
    <w:rsid w:val="00F11FDA"/>
    <w:rsid w:val="00F40E0E"/>
    <w:rsid w:val="00F7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C8BCD-5A6D-41B5-8D89-A8AA1B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01D0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91DFF"/>
  </w:style>
  <w:style w:type="paragraph" w:customStyle="1" w:styleId="xxmsonormal">
    <w:name w:val="x_x_msonormal"/>
    <w:basedOn w:val="Normal"/>
    <w:rsid w:val="00BC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73CA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C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036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6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6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6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66A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66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01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101D0"/>
    <w:rPr>
      <w:rFonts w:ascii="Times New Roman" w:eastAsia="Arial Unicode MS" w:hAnsi="Times New Roman" w:cs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rsid w:val="001101D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101D0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43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2020-03-30T07:59:00Z</cp:lastPrinted>
  <dcterms:created xsi:type="dcterms:W3CDTF">2020-04-21T08:07:00Z</dcterms:created>
  <dcterms:modified xsi:type="dcterms:W3CDTF">2020-04-21T08:07:00Z</dcterms:modified>
</cp:coreProperties>
</file>